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2F" w:rsidRDefault="005B0BB6">
      <w:pPr>
        <w:pStyle w:val="Heading"/>
        <w:spacing w:before="120" w:after="200" w:line="240" w:lineRule="auto"/>
        <w:rPr>
          <w:rFonts w:ascii="Arial" w:hAnsi="Arial"/>
          <w:color w:val="919191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E2BCE64" wp14:editId="11999312">
                <wp:simplePos x="0" y="0"/>
                <wp:positionH relativeFrom="page">
                  <wp:posOffset>685800</wp:posOffset>
                </wp:positionH>
                <wp:positionV relativeFrom="page">
                  <wp:posOffset>1021080</wp:posOffset>
                </wp:positionV>
                <wp:extent cx="7198995" cy="1236345"/>
                <wp:effectExtent l="0" t="0" r="1905" b="1905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236345"/>
                        </a:xfrm>
                        <a:prstGeom prst="rect">
                          <a:avLst/>
                        </a:prstGeom>
                        <a:solidFill>
                          <a:srgbClr val="5555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5A2F" w:rsidRDefault="00F55425">
                            <w:pPr>
                              <w:pStyle w:val="Heading"/>
                              <w:spacing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 xml:space="preserve">tech-check specs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>interiors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 xml:space="preserve"> I Division 10</w:t>
                            </w:r>
                          </w:p>
                          <w:p w:rsidR="00855A2F" w:rsidRDefault="00F55425"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 or will be missing.</w:t>
                            </w:r>
                          </w:p>
                          <w:p w:rsidR="00855A2F" w:rsidRDefault="00F55425">
                            <w:pPr>
                              <w:pStyle w:val="Heading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 xml:space="preserve">When using the list, make the changes needed for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your project.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54pt;margin-top:80.4pt;width:566.85pt;height:97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" fillcolor="#55553c" stroked="f" strokeweight="1pt">
                <v:stroke miterlimit="4"/>
                <v:textbox inset="4pt,4pt,4pt,4pt">
                  <w:txbxContent>
                    <w:p w:rsidR="00855A2F" w:rsidRDefault="00F55425">
                      <w:pPr>
                        <w:pStyle w:val="Heading"/>
                        <w:spacing w:line="240" w:lineRule="auto"/>
                        <w:rPr>
                          <w:rFonts w:ascii="Helvetica" w:eastAsia="Helvetica" w:hAnsi="Helvetica" w:cs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 xml:space="preserve">tech-check specs </w:t>
                      </w:r>
                      <w:r>
                        <w:rPr>
                          <w:rFonts w:ascii="Helvetica" w:hAnsi="Helvetica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>interiors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 xml:space="preserve"> I Division 10</w:t>
                      </w:r>
                    </w:p>
                    <w:p w:rsidR="00855A2F" w:rsidRDefault="00F55425">
                      <w:pPr>
                        <w:pStyle w:val="Heading"/>
                        <w:spacing w:before="240" w:line="240" w:lineRule="auto"/>
                        <w:rPr>
                          <w:rFonts w:ascii="Helvetica" w:eastAsia="Helvetica" w:hAnsi="Helvetica" w:cs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 or will be missing.</w:t>
                      </w:r>
                    </w:p>
                    <w:p w:rsidR="00855A2F" w:rsidRDefault="00F55425">
                      <w:pPr>
                        <w:pStyle w:val="Heading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 xml:space="preserve">When using the list, make the changes needed for 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your project.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55425">
        <w:rPr>
          <w:rFonts w:ascii="Arial" w:hAnsi="Arial"/>
          <w:color w:val="919191"/>
          <w:sz w:val="20"/>
          <w:szCs w:val="20"/>
          <w:lang w:val="en-US"/>
        </w:rPr>
        <w:t>The content of the Tech-Check Lists is based on our specs and M</w:t>
      </w:r>
      <w:r w:rsidR="00F55425">
        <w:rPr>
          <w:rFonts w:ascii="Arial" w:hAnsi="Arial"/>
          <w:color w:val="919191"/>
          <w:sz w:val="20"/>
          <w:szCs w:val="20"/>
          <w:lang w:val="en-US"/>
        </w:rPr>
        <w:t>ASTERSPEC</w:t>
      </w:r>
      <w:r w:rsidR="00F55425">
        <w:rPr>
          <w:rFonts w:ascii="Arial" w:hAnsi="Arial"/>
          <w:color w:val="919191"/>
          <w:sz w:val="20"/>
          <w:szCs w:val="20"/>
          <w:lang w:val="en-US"/>
        </w:rPr>
        <w:t>®</w:t>
      </w:r>
      <w:r w:rsidR="00F55425">
        <w:rPr>
          <w:rFonts w:ascii="Arial" w:hAnsi="Arial"/>
          <w:color w:val="919191"/>
          <w:sz w:val="20"/>
          <w:szCs w:val="20"/>
          <w:lang w:val="en-US"/>
        </w:rPr>
        <w:t>.</w:t>
      </w:r>
    </w:p>
    <w:p w:rsidR="005B0BB6" w:rsidRPr="005B0BB6" w:rsidRDefault="005B0BB6" w:rsidP="005B0BB6">
      <w:pPr>
        <w:pStyle w:val="Heading"/>
        <w:widowControl w:val="0"/>
        <w:suppressAutoHyphens/>
        <w:spacing w:before="360" w:after="60" w:line="240" w:lineRule="auto"/>
        <w:ind w:left="130" w:hanging="130"/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b/>
          <w:bCs/>
          <w:color w:val="55553C"/>
          <w:sz w:val="24"/>
          <w:szCs w:val="24"/>
          <w:lang w:val="en-US"/>
        </w:rPr>
        <w:t>DIVISION 10 - SPECIALTIES</w:t>
      </w:r>
      <w:bookmarkStart w:id="0" w:name="_GoBack"/>
      <w:bookmarkEnd w:id="0"/>
    </w:p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E3E1"/>
        <w:tblLayout w:type="fixed"/>
        <w:tblLook w:val="04A0" w:firstRow="1" w:lastRow="0" w:firstColumn="1" w:lastColumn="0" w:noHBand="0" w:noVBand="1"/>
      </w:tblPr>
      <w:tblGrid>
        <w:gridCol w:w="596"/>
        <w:gridCol w:w="7356"/>
        <w:gridCol w:w="2128"/>
      </w:tblGrid>
      <w:tr w:rsidR="00855A2F">
        <w:trPr>
          <w:trHeight w:val="294"/>
        </w:trPr>
        <w:tc>
          <w:tcPr>
            <w:tcW w:w="59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101100 - VISUAL DISPLAY UNITS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2616"/>
        </w:trPr>
        <w:tc>
          <w:tcPr>
            <w:tcW w:w="59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marker boards boards wall mounted.</w:t>
            </w:r>
          </w:p>
          <w:p w:rsidR="00855A2F" w:rsidRDefault="00F55425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Claridge  (glass marker boards and porcelain enamel sheet) . </w:t>
            </w:r>
            <w:hyperlink r:id="rId8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https://claridgeproducts.com/build/products/home/</w:t>
              </w:r>
            </w:hyperlink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</w:t>
            </w:r>
          </w:p>
          <w:p w:rsidR="00855A2F" w:rsidRDefault="00F55425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dimensions of the board are indicated on the drawings if not in the specs.</w:t>
            </w:r>
          </w:p>
          <w:p w:rsidR="00855A2F" w:rsidRDefault="00F55425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Accessories such as chalk-trays, backboard panels, trim, etc. are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indicated on the drawings or the specs.</w:t>
            </w:r>
          </w:p>
          <w:p w:rsidR="00855A2F" w:rsidRDefault="00F55425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Sliding components, if any, are indicated on the Drawings and included in the spec.</w:t>
            </w:r>
          </w:p>
          <w:p w:rsidR="00855A2F" w:rsidRDefault="00F55425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method(s) are indicated on the section.</w:t>
            </w:r>
          </w:p>
          <w:p w:rsidR="00855A2F" w:rsidRDefault="00F55425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Requirements and Submittals included at the beginning of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hyperlink r:id="rId9" w:history="1">
              <w:r>
                <w:rPr>
                  <w:rStyle w:val="Hyperlink0"/>
                  <w:rFonts w:ascii="Arial" w:hAnsi="Arial"/>
                  <w:b/>
                  <w:bCs/>
                  <w:caps/>
                  <w:sz w:val="18"/>
                  <w:szCs w:val="18"/>
                </w:rPr>
                <w:t xml:space="preserve"> </w:t>
              </w:r>
            </w:hyperlink>
          </w:p>
        </w:tc>
      </w:tr>
      <w:tr w:rsidR="00855A2F">
        <w:trPr>
          <w:trHeight w:val="294"/>
        </w:trPr>
        <w:tc>
          <w:tcPr>
            <w:tcW w:w="59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102113.14 - STAINLESS-STEEL TOILET COMPARTMENTS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2776"/>
        </w:trPr>
        <w:tc>
          <w:tcPr>
            <w:tcW w:w="59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specified stainless steel toilet compartments.</w:t>
            </w:r>
          </w:p>
          <w:p w:rsidR="00855A2F" w:rsidRDefault="00F55425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Bradley </w:t>
            </w:r>
            <w:hyperlink r:id="rId10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https://www.bradleycorp.com/toiletpartitions/stainless-steel-partitions</w:t>
              </w:r>
            </w:hyperlink>
          </w:p>
          <w:p w:rsidR="00855A2F" w:rsidRDefault="00F55425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ALL TOILET COMPARTMENTS IN RWW ARE SPECIFIED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OVERHEAD BRACED/FLOOR MOUNTED because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that is the type that is easiest to install without wabbles.</w:t>
            </w:r>
          </w:p>
          <w:p w:rsidR="00855A2F" w:rsidRDefault="00F55425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Verify field dimensions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paragraph is included in the section.</w:t>
            </w:r>
          </w:p>
          <w:p w:rsidR="00855A2F" w:rsidRDefault="00F55425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product specificed has gap-free option when availlable.</w:t>
            </w:r>
          </w:p>
          <w:p w:rsidR="00855A2F" w:rsidRDefault="00F55425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the 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135180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jpeg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A2F">
        <w:trPr>
          <w:trHeight w:val="304"/>
        </w:trPr>
        <w:tc>
          <w:tcPr>
            <w:tcW w:w="59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102113.17 - PHENOLIC-CORE TOILET COMPARTMENTS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2776"/>
        </w:trPr>
        <w:tc>
          <w:tcPr>
            <w:tcW w:w="59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phenolic-core toilet compartments.</w:t>
            </w:r>
          </w:p>
          <w:p w:rsidR="00855A2F" w:rsidRDefault="00F55425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Bobrick or Bradley. </w:t>
            </w:r>
            <w:hyperlink r:id="rId12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https://www.bradleycorp.com/toiletpartitions/solid-phenolic-core-partitions</w:t>
              </w:r>
            </w:hyperlink>
          </w:p>
          <w:p w:rsidR="00855A2F" w:rsidRDefault="00F55425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ALL TOILET COMPARTMENTS IN RWW ARE SPECIFIED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OVERHEAD BRACED/FLOOR MOUNTED because that is the type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that is easiest to install without wabbles.</w:t>
            </w:r>
          </w:p>
          <w:p w:rsidR="00855A2F" w:rsidRDefault="00F55425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Verify field dimensions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paragraph is included in the section.</w:t>
            </w:r>
          </w:p>
          <w:p w:rsidR="00855A2F" w:rsidRDefault="00F55425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product specificed has gap-free option when availlable.</w:t>
            </w:r>
          </w:p>
          <w:p w:rsidR="00855A2F" w:rsidRDefault="00F55425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ind w:right="467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1351805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jpeg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A2F">
        <w:trPr>
          <w:trHeight w:val="294"/>
        </w:trPr>
        <w:tc>
          <w:tcPr>
            <w:tcW w:w="59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104413 - FIRE PROTECTION CABINETS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3036"/>
        </w:trPr>
        <w:tc>
          <w:tcPr>
            <w:tcW w:w="595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fire protection cabinets for portable fire extinguishers, surface mounted, semi-recessed and fully recessed.  </w:t>
            </w:r>
          </w:p>
          <w:p w:rsidR="00855A2F" w:rsidRDefault="00F55425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Larse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 or JL.  </w:t>
            </w:r>
            <w:hyperlink r:id="rId14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http://www.larsensmfg.com/home</w:t>
              </w:r>
            </w:hyperlink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; </w:t>
            </w:r>
          </w:p>
          <w:p w:rsidR="00855A2F" w:rsidRDefault="00F55425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includes white enameled finish (to be field painted to match the wall) or stainless steel - as applicable to project.</w:t>
            </w:r>
          </w:p>
          <w:p w:rsidR="00855A2F" w:rsidRDefault="00F55425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Partition thickness is coordinated with type of cabinet and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details. If cabinets are installed in rated partitions, detail is included.</w:t>
            </w:r>
          </w:p>
          <w:p w:rsidR="00855A2F" w:rsidRDefault="00F55425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for type of cabinets specified is included in the section- window (if any), letering, etc.</w:t>
            </w:r>
          </w:p>
          <w:p w:rsidR="00855A2F" w:rsidRDefault="00F55425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FIRE EXTINGUISHERS are typically 5 pounds.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1351805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jpeg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A2F">
        <w:trPr>
          <w:trHeight w:val="294"/>
        </w:trPr>
        <w:tc>
          <w:tcPr>
            <w:tcW w:w="595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Heading2"/>
            </w:pPr>
            <w:r>
              <w:t>105113 - METAL LOCKERS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3036"/>
        </w:trPr>
        <w:tc>
          <w:tcPr>
            <w:tcW w:w="595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</w:t>
            </w: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WELDED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metal lockers.  These can be standard models or special tpes, like quiet lockers or good looking ones.</w:t>
            </w:r>
          </w:p>
          <w:p w:rsidR="00855A2F" w:rsidRDefault="00F55425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</w:t>
            </w: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asis of Design Manufacturer (Standard lockers and Quiet lockers)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Republic </w:t>
            </w:r>
            <w:hyperlink r:id="rId16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https://republicstorage.com/store/corridor_lockers?lockers=1</w:t>
              </w:r>
            </w:hyperlink>
          </w:p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Lead time in lockers is very important.  Verify they are available before specifying.</w:t>
            </w:r>
          </w:p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Field dimensions verification paragraph is in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cluded in the section.</w:t>
            </w:r>
          </w:p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Arrangement of lockers is in the drawings; Size and type is in the specs.</w:t>
            </w:r>
          </w:p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 for base or for legs is included.</w:t>
            </w:r>
          </w:p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lock, numbers, vents, are included.</w:t>
            </w:r>
          </w:p>
          <w:p w:rsidR="00855A2F" w:rsidRDefault="00F55425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of the 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992225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jpeg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99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A2F">
        <w:trPr>
          <w:trHeight w:val="294"/>
        </w:trPr>
        <w:tc>
          <w:tcPr>
            <w:tcW w:w="595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Heading2"/>
            </w:pPr>
            <w:r>
              <w:t>102123 - CUBICLE CURTAINS AND TRACK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2776"/>
        </w:trPr>
        <w:tc>
          <w:tcPr>
            <w:tcW w:w="595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Cubicle-curtain tracks and carriers AND CURTAINS.</w:t>
            </w:r>
          </w:p>
          <w:p w:rsidR="00855A2F" w:rsidRDefault="00F55425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 xml:space="preserve">Basis of Design Manufacturer: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Construction Specialites.</w:t>
            </w:r>
          </w:p>
          <w:p w:rsidR="00855A2F" w:rsidRDefault="00F55425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Type of track is included (material accessories, etc) is included.</w:t>
            </w:r>
          </w:p>
          <w:p w:rsidR="00855A2F" w:rsidRDefault="00F55425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curtains are not provided by the Owner, then they should be included in the section and on the Drawings under finishes.</w:t>
            </w:r>
          </w:p>
          <w:p w:rsidR="00855A2F" w:rsidRDefault="00F55425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Fabric type and/or mesh, construcion, color and pattern, and length of curtains, are included in the section.</w:t>
            </w:r>
          </w:p>
          <w:p w:rsidR="00855A2F" w:rsidRDefault="00F55425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Installation (surface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mounted or suspended is included in the section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. </w:t>
            </w:r>
          </w:p>
          <w:p w:rsidR="00855A2F" w:rsidRDefault="00F55425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986818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pasted-image.jpeg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98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A2F">
        <w:trPr>
          <w:trHeight w:val="294"/>
        </w:trPr>
        <w:tc>
          <w:tcPr>
            <w:tcW w:w="595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Heading2"/>
            </w:pPr>
            <w:r>
              <w:t>102233 - ACCORDION FOLDING PARTITIONS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4336"/>
        </w:trPr>
        <w:tc>
          <w:tcPr>
            <w:tcW w:w="595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manually or electrical operated accordion folding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partitions, rated and non-rated.</w:t>
            </w:r>
          </w:p>
          <w:p w:rsidR="00855A2F" w:rsidRDefault="00F55425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Basis of Design Manufacturer Glass: CRL US Aluminum. </w:t>
            </w:r>
            <w:hyperlink r:id="rId19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http://www.crl-arch.com/#ab</w:t>
              </w:r>
            </w:hyperlink>
          </w:p>
          <w:p w:rsidR="00855A2F" w:rsidRDefault="00F55425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Basis of Design Manufacturer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Rated: Won-Door. </w:t>
            </w:r>
            <w:hyperlink r:id="rId20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http://wondoor.com/</w:t>
              </w:r>
            </w:hyperlink>
          </w:p>
          <w:p w:rsidR="00855A2F" w:rsidRDefault="00F55425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Basis of Design Manufacturer: Hufcor </w:t>
            </w:r>
            <w:hyperlink r:id="rId21" w:history="1">
              <w:r>
                <w:rPr>
                  <w:rStyle w:val="Hyperlink0"/>
                  <w:rFonts w:ascii="Arial" w:hAnsi="Arial"/>
                  <w:sz w:val="18"/>
                  <w:szCs w:val="18"/>
                </w:rPr>
                <w:t>http://www.hufcor.com/products/accordion-doors/#downloads</w:t>
              </w:r>
            </w:hyperlink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Acoustical performance is included.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Seismic requirements for delegated design work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are included.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Fire resistance requirements are included.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Surface burning requirements are included.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Suspension system is included.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Acoustical field testing is included.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finishes in the spec section.</w:t>
            </w:r>
          </w:p>
          <w:p w:rsidR="00855A2F" w:rsidRDefault="00F55425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Requirements and Submittals included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at the beginning of the 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1588371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sted-image.jpeg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58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A2F">
        <w:trPr>
          <w:trHeight w:val="294"/>
        </w:trPr>
        <w:tc>
          <w:tcPr>
            <w:tcW w:w="595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855A2F" w:rsidRDefault="00F55425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55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F55425">
            <w:pPr>
              <w:pStyle w:val="Heading2"/>
            </w:pPr>
            <w:r>
              <w:t>102800 - TOILET, shower, and custodial ACCESSORIES</w:t>
            </w:r>
          </w:p>
        </w:tc>
        <w:tc>
          <w:tcPr>
            <w:tcW w:w="2128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855A2F" w:rsidRDefault="00855A2F"/>
        </w:tc>
      </w:tr>
      <w:tr w:rsidR="00855A2F">
        <w:trPr>
          <w:trHeight w:val="4316"/>
        </w:trPr>
        <w:tc>
          <w:tcPr>
            <w:tcW w:w="595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855A2F"/>
        </w:tc>
        <w:tc>
          <w:tcPr>
            <w:tcW w:w="7355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accessories for public-use bathrooms and showers; under lavatory guards; and custodial accessories.</w:t>
            </w:r>
          </w:p>
          <w:p w:rsidR="00855A2F" w:rsidRDefault="00F55425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Bobrick. </w:t>
            </w:r>
          </w:p>
          <w:p w:rsidR="00855A2F" w:rsidRDefault="00F55425">
            <w:pPr>
              <w:pStyle w:val="Default"/>
              <w:numPr>
                <w:ilvl w:val="0"/>
                <w:numId w:val="18"/>
              </w:numPr>
              <w:suppressAutoHyphens/>
              <w:spacing w:line="260" w:lineRule="exact"/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 xml:space="preserve">Basis of Design Product under lavatory guards: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IPS Truebro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® 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Lav Guard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® 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2 Undersink Piping Covers</w:t>
            </w:r>
          </w:p>
          <w:p w:rsidR="00855A2F" w:rsidRDefault="00F55425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includes the following:</w:t>
            </w:r>
          </w:p>
          <w:p w:rsidR="00855A2F" w:rsidRDefault="00F55425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General requirements for toilet accessories that are shown on the Drawings.</w:t>
            </w:r>
          </w:p>
          <w:p w:rsidR="00855A2F" w:rsidRDefault="00F55425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General requirements for grab bars that are shown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on the Drawings.</w:t>
            </w:r>
          </w:p>
          <w:p w:rsidR="00855A2F" w:rsidRDefault="00F55425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Miscellaneous Accessories: Coat hooks, folding shelfs, diaper changing unit.</w:t>
            </w:r>
          </w:p>
          <w:p w:rsidR="00855A2F" w:rsidRDefault="00F55425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Accessories for showers: Curtain rod, curtains shower seat, shelves, towel hooks, towel bar, bench for outside the shower where people undress and dress, hair dry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er.</w:t>
            </w:r>
          </w:p>
          <w:p w:rsidR="00855A2F" w:rsidRDefault="00F55425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Accessories for custodial rooms: Floor sink and shelf with mop/broom holder. </w:t>
            </w:r>
          </w:p>
          <w:p w:rsidR="00855A2F" w:rsidRDefault="00F55425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showing installation and location match the section.</w:t>
            </w:r>
          </w:p>
          <w:p w:rsidR="00855A2F" w:rsidRDefault="00F55425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855A2F" w:rsidRDefault="00F554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805" cy="1351805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pasted-image.jpeg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BB6" w:rsidRDefault="005B0BB6">
      <w:pPr>
        <w:pStyle w:val="Heading"/>
        <w:spacing w:after="60" w:line="240" w:lineRule="auto"/>
        <w:rPr>
          <w:rFonts w:ascii="Arial" w:hAnsi="Arial"/>
          <w:b/>
          <w:bCs/>
          <w:color w:val="919191"/>
          <w:sz w:val="18"/>
          <w:szCs w:val="18"/>
          <w:lang w:val="en-US"/>
        </w:rPr>
      </w:pPr>
    </w:p>
    <w:p w:rsidR="00855A2F" w:rsidRDefault="00F55425">
      <w:pPr>
        <w:pStyle w:val="Heading"/>
        <w:spacing w:after="60" w:line="240" w:lineRule="auto"/>
        <w:rPr>
          <w:rFonts w:hint="eastAsia"/>
        </w:rPr>
      </w:pPr>
      <w:r>
        <w:rPr>
          <w:rFonts w:ascii="Arial" w:hAnsi="Arial"/>
          <w:b/>
          <w:bCs/>
          <w:color w:val="919191"/>
          <w:sz w:val="18"/>
          <w:szCs w:val="18"/>
          <w:lang w:val="en-US"/>
        </w:rPr>
        <w:t>END OF TECH-CHECKING LIST</w:t>
      </w:r>
    </w:p>
    <w:sectPr w:rsidR="00855A2F">
      <w:headerReference w:type="default" r:id="rId24"/>
      <w:footerReference w:type="default" r:id="rId25"/>
      <w:pgSz w:w="12240" w:h="15840"/>
      <w:pgMar w:top="1080" w:right="1080" w:bottom="72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25" w:rsidRDefault="00F55425">
      <w:r>
        <w:separator/>
      </w:r>
    </w:p>
  </w:endnote>
  <w:endnote w:type="continuationSeparator" w:id="0">
    <w:p w:rsidR="00F55425" w:rsidRDefault="00F5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2F" w:rsidRDefault="00855A2F">
    <w:pPr>
      <w:pStyle w:val="HeaderFooterA"/>
      <w:tabs>
        <w:tab w:val="clear" w:pos="9020"/>
        <w:tab w:val="center" w:pos="4680"/>
        <w:tab w:val="right" w:pos="9340"/>
      </w:tabs>
      <w:rPr>
        <w:rFonts w:hint="eastAsia"/>
      </w:rPr>
    </w:pPr>
  </w:p>
  <w:p w:rsidR="00855A2F" w:rsidRDefault="00F55425">
    <w:pPr>
      <w:pStyle w:val="HeaderFooterA"/>
      <w:tabs>
        <w:tab w:val="clear" w:pos="9020"/>
        <w:tab w:val="center" w:pos="4680"/>
        <w:tab w:val="right" w:pos="10080"/>
      </w:tabs>
      <w:rPr>
        <w:rFonts w:hint="eastAsia"/>
      </w:rPr>
    </w:pPr>
    <w:r>
      <w:rPr>
        <w:rFonts w:ascii="Arial" w:hAnsi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5B0BB6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color w:val="E87124"/>
        <w:sz w:val="16"/>
        <w:szCs w:val="16"/>
        <w:u w:color="E87124"/>
      </w:rPr>
      <w:t xml:space="preserve">RMW architecture &amp; interiors I </w:t>
    </w:r>
    <w:r>
      <w:rPr>
        <w:rFonts w:ascii="Arial" w:hAnsi="Arial"/>
        <w:color w:val="E87124"/>
        <w:sz w:val="16"/>
        <w:szCs w:val="16"/>
        <w:u w:color="E87124"/>
      </w:rPr>
      <w:t xml:space="preserve">© </w:t>
    </w:r>
    <w:r>
      <w:rPr>
        <w:rFonts w:ascii="Arial" w:hAnsi="Arial"/>
        <w:color w:val="E87124"/>
        <w:sz w:val="16"/>
        <w:szCs w:val="16"/>
        <w:u w:color="E87124"/>
      </w:rPr>
      <w:t>RMW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25" w:rsidRDefault="00F55425">
      <w:r>
        <w:separator/>
      </w:r>
    </w:p>
  </w:footnote>
  <w:footnote w:type="continuationSeparator" w:id="0">
    <w:p w:rsidR="00F55425" w:rsidRDefault="00F55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2F" w:rsidRDefault="00F55425">
    <w:pPr>
      <w:pStyle w:val="HeaderFooterA"/>
      <w:tabs>
        <w:tab w:val="clear" w:pos="9020"/>
      </w:tabs>
      <w:spacing w:after="0" w:line="240" w:lineRule="auto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</w:rPr>
      <w:t xml:space="preserve"> I Interiors I Division 10</w:t>
    </w:r>
  </w:p>
  <w:p w:rsidR="005B0BB6" w:rsidRDefault="005B0BB6" w:rsidP="005B0BB6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No.]</w:t>
    </w:r>
  </w:p>
  <w:p w:rsidR="005B0BB6" w:rsidRDefault="005B0BB6" w:rsidP="005B0BB6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name]</w:t>
    </w:r>
  </w:p>
  <w:p w:rsidR="005B0BB6" w:rsidRDefault="005B0BB6" w:rsidP="005B0BB6">
    <w:pPr>
      <w:pStyle w:val="HeaderFooterA"/>
      <w:tabs>
        <w:tab w:val="clear" w:pos="9020"/>
      </w:tabs>
      <w:spacing w:after="0" w:line="240" w:lineRule="auto"/>
      <w:jc w:val="right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date]</w:t>
    </w:r>
  </w:p>
  <w:p w:rsidR="005B0BB6" w:rsidRDefault="005B0BB6">
    <w:pPr>
      <w:pStyle w:val="HeaderFooterA"/>
      <w:tabs>
        <w:tab w:val="clear" w:pos="9020"/>
      </w:tabs>
      <w:spacing w:after="0"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7C1"/>
    <w:multiLevelType w:val="hybridMultilevel"/>
    <w:tmpl w:val="27F898C6"/>
    <w:lvl w:ilvl="0" w:tplc="4F18D93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ADB4423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66121E5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53D6B58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8CBECF7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E0384D12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2800037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74DA700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1068E736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B27CA1"/>
    <w:multiLevelType w:val="hybridMultilevel"/>
    <w:tmpl w:val="0DBC4E64"/>
    <w:lvl w:ilvl="0" w:tplc="AF2487F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FDCE5A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ABD8F2A4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FDD8F904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C7EE9B3C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F7041A4A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FB489A4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7D269ABC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9746F46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B31022B"/>
    <w:multiLevelType w:val="hybridMultilevel"/>
    <w:tmpl w:val="D7C2B28E"/>
    <w:lvl w:ilvl="0" w:tplc="A2E0E24A">
      <w:start w:val="1"/>
      <w:numFmt w:val="bullet"/>
      <w:lvlText w:val="•"/>
      <w:lvlJc w:val="left"/>
      <w:pPr>
        <w:tabs>
          <w:tab w:val="left" w:pos="877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ACD861D2">
      <w:start w:val="1"/>
      <w:numFmt w:val="bullet"/>
      <w:lvlText w:val="•"/>
      <w:lvlJc w:val="left"/>
      <w:pPr>
        <w:tabs>
          <w:tab w:val="left" w:pos="877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33222D7E">
      <w:start w:val="1"/>
      <w:numFmt w:val="bullet"/>
      <w:lvlText w:val="•"/>
      <w:lvlJc w:val="left"/>
      <w:pPr>
        <w:tabs>
          <w:tab w:val="left" w:pos="8777"/>
        </w:tabs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B92A02BA">
      <w:start w:val="1"/>
      <w:numFmt w:val="bullet"/>
      <w:lvlText w:val="•"/>
      <w:lvlJc w:val="left"/>
      <w:pPr>
        <w:tabs>
          <w:tab w:val="left" w:pos="8777"/>
        </w:tabs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A0A6FEE">
      <w:start w:val="1"/>
      <w:numFmt w:val="bullet"/>
      <w:lvlText w:val="•"/>
      <w:lvlJc w:val="left"/>
      <w:pPr>
        <w:tabs>
          <w:tab w:val="left" w:pos="8777"/>
        </w:tabs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6F44F644">
      <w:start w:val="1"/>
      <w:numFmt w:val="bullet"/>
      <w:lvlText w:val="•"/>
      <w:lvlJc w:val="left"/>
      <w:pPr>
        <w:tabs>
          <w:tab w:val="left" w:pos="8777"/>
        </w:tabs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33C69072">
      <w:start w:val="1"/>
      <w:numFmt w:val="bullet"/>
      <w:lvlText w:val="•"/>
      <w:lvlJc w:val="left"/>
      <w:pPr>
        <w:tabs>
          <w:tab w:val="left" w:pos="8777"/>
        </w:tabs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D05E3E40">
      <w:start w:val="1"/>
      <w:numFmt w:val="bullet"/>
      <w:lvlText w:val="•"/>
      <w:lvlJc w:val="left"/>
      <w:pPr>
        <w:tabs>
          <w:tab w:val="left" w:pos="8777"/>
        </w:tabs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AD7CED06">
      <w:start w:val="1"/>
      <w:numFmt w:val="bullet"/>
      <w:lvlText w:val="•"/>
      <w:lvlJc w:val="left"/>
      <w:pPr>
        <w:tabs>
          <w:tab w:val="left" w:pos="8777"/>
        </w:tabs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28D5262"/>
    <w:multiLevelType w:val="hybridMultilevel"/>
    <w:tmpl w:val="9AC2B15A"/>
    <w:lvl w:ilvl="0" w:tplc="6C1C0D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DFCAE7F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65445B3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B8AE662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558E94F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70422516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11CAF94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A11E899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D7E4043E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68D6042"/>
    <w:multiLevelType w:val="hybridMultilevel"/>
    <w:tmpl w:val="FC784060"/>
    <w:lvl w:ilvl="0" w:tplc="2B2EE34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CB3434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436279A4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1B32BE3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EE1892A0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85C2F7AC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304AEDB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2CD89E38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71D8DAF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D672E06"/>
    <w:multiLevelType w:val="hybridMultilevel"/>
    <w:tmpl w:val="CAACAECA"/>
    <w:lvl w:ilvl="0" w:tplc="FF085C9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8B7EF32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0B203F06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2732FC4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EA3A67E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7AB8437A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EFC0630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3963BB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AD32FFE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39A4E66"/>
    <w:multiLevelType w:val="hybridMultilevel"/>
    <w:tmpl w:val="E81046A8"/>
    <w:lvl w:ilvl="0" w:tplc="F61A0D5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88CC7B6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4364D88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8892BD6C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5658D2BC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F4726BF2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BD8067C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06A8C1B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15B8B35E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1244EAC"/>
    <w:multiLevelType w:val="hybridMultilevel"/>
    <w:tmpl w:val="DE587648"/>
    <w:lvl w:ilvl="0" w:tplc="345AC84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113C6E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EC726092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4A46F532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2042CEA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B7467B84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0058687A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7444D598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F2C43E8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7"/>
    <w:lvlOverride w:ilvl="0">
      <w:lvl w:ilvl="0" w:tplc="345AC842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3C6EC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726092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46F532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42CEA8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467B84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58687A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44D598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2C43E8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A2E0E24A">
        <w:start w:val="1"/>
        <w:numFmt w:val="bullet"/>
        <w:lvlText w:val="•"/>
        <w:lvlJc w:val="left"/>
        <w:pPr>
          <w:tabs>
            <w:tab w:val="left" w:pos="8777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D861D2">
        <w:start w:val="1"/>
        <w:numFmt w:val="bullet"/>
        <w:lvlText w:val="•"/>
        <w:lvlJc w:val="left"/>
        <w:pPr>
          <w:tabs>
            <w:tab w:val="left" w:pos="87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222D7E">
        <w:start w:val="1"/>
        <w:numFmt w:val="bullet"/>
        <w:lvlText w:val="•"/>
        <w:lvlJc w:val="left"/>
        <w:pPr>
          <w:tabs>
            <w:tab w:val="left" w:pos="8777"/>
          </w:tabs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2A02BA">
        <w:start w:val="1"/>
        <w:numFmt w:val="bullet"/>
        <w:lvlText w:val="•"/>
        <w:lvlJc w:val="left"/>
        <w:pPr>
          <w:tabs>
            <w:tab w:val="left" w:pos="8777"/>
          </w:tabs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0A6FEE">
        <w:start w:val="1"/>
        <w:numFmt w:val="bullet"/>
        <w:lvlText w:val="•"/>
        <w:lvlJc w:val="left"/>
        <w:pPr>
          <w:tabs>
            <w:tab w:val="left" w:pos="8777"/>
          </w:tabs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44F644">
        <w:start w:val="1"/>
        <w:numFmt w:val="bullet"/>
        <w:lvlText w:val="•"/>
        <w:lvlJc w:val="left"/>
        <w:pPr>
          <w:tabs>
            <w:tab w:val="left" w:pos="8777"/>
          </w:tabs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C69072">
        <w:start w:val="1"/>
        <w:numFmt w:val="bullet"/>
        <w:lvlText w:val="•"/>
        <w:lvlJc w:val="left"/>
        <w:pPr>
          <w:tabs>
            <w:tab w:val="left" w:pos="8777"/>
          </w:tabs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5E3E40">
        <w:start w:val="1"/>
        <w:numFmt w:val="bullet"/>
        <w:lvlText w:val="•"/>
        <w:lvlJc w:val="left"/>
        <w:pPr>
          <w:tabs>
            <w:tab w:val="left" w:pos="8777"/>
          </w:tabs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7CED06">
        <w:start w:val="1"/>
        <w:numFmt w:val="bullet"/>
        <w:lvlText w:val="•"/>
        <w:lvlJc w:val="left"/>
        <w:pPr>
          <w:tabs>
            <w:tab w:val="left" w:pos="8777"/>
          </w:tabs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3"/>
    <w:lvlOverride w:ilvl="0">
      <w:lvl w:ilvl="0" w:tplc="6C1C0D56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CAE7F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445B3E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AE662E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8E94F8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422516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CAF940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1E899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E4043E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 w:tplc="6C1C0D56">
        <w:start w:val="1"/>
        <w:numFmt w:val="bullet"/>
        <w:lvlText w:val="•"/>
        <w:lvlJc w:val="left"/>
        <w:pPr>
          <w:tabs>
            <w:tab w:val="left" w:pos="87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CAE7FC">
        <w:start w:val="1"/>
        <w:numFmt w:val="bullet"/>
        <w:lvlText w:val="•"/>
        <w:lvlJc w:val="left"/>
        <w:pPr>
          <w:tabs>
            <w:tab w:val="left" w:pos="87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445B3E">
        <w:start w:val="1"/>
        <w:numFmt w:val="bullet"/>
        <w:lvlText w:val="•"/>
        <w:lvlJc w:val="left"/>
        <w:pPr>
          <w:tabs>
            <w:tab w:val="left" w:pos="8777"/>
          </w:tabs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AE662E">
        <w:start w:val="1"/>
        <w:numFmt w:val="bullet"/>
        <w:lvlText w:val="•"/>
        <w:lvlJc w:val="left"/>
        <w:pPr>
          <w:tabs>
            <w:tab w:val="left" w:pos="8777"/>
          </w:tabs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8E94F8">
        <w:start w:val="1"/>
        <w:numFmt w:val="bullet"/>
        <w:lvlText w:val="•"/>
        <w:lvlJc w:val="left"/>
        <w:pPr>
          <w:tabs>
            <w:tab w:val="left" w:pos="8777"/>
          </w:tabs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422516">
        <w:start w:val="1"/>
        <w:numFmt w:val="bullet"/>
        <w:lvlText w:val="•"/>
        <w:lvlJc w:val="left"/>
        <w:pPr>
          <w:tabs>
            <w:tab w:val="left" w:pos="8777"/>
          </w:tabs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CAF940">
        <w:start w:val="1"/>
        <w:numFmt w:val="bullet"/>
        <w:lvlText w:val="•"/>
        <w:lvlJc w:val="left"/>
        <w:pPr>
          <w:tabs>
            <w:tab w:val="left" w:pos="8777"/>
          </w:tabs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1E8990">
        <w:start w:val="1"/>
        <w:numFmt w:val="bullet"/>
        <w:lvlText w:val="•"/>
        <w:lvlJc w:val="left"/>
        <w:pPr>
          <w:tabs>
            <w:tab w:val="left" w:pos="8777"/>
          </w:tabs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E4043E">
        <w:start w:val="1"/>
        <w:numFmt w:val="bullet"/>
        <w:lvlText w:val="•"/>
        <w:lvlJc w:val="left"/>
        <w:pPr>
          <w:tabs>
            <w:tab w:val="left" w:pos="8777"/>
          </w:tabs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</w:num>
  <w:num w:numId="9">
    <w:abstractNumId w:val="0"/>
    <w:lvlOverride w:ilvl="0">
      <w:lvl w:ilvl="0" w:tplc="4F18D936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B4423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121E5E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D6B580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BECF78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384D12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000372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DA700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68E736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5"/>
    <w:lvlOverride w:ilvl="0">
      <w:lvl w:ilvl="0" w:tplc="FF085C9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7EF32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203F06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32FC48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3A67EE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B8437A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C0630C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963BBA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32FFE4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</w:num>
  <w:num w:numId="13">
    <w:abstractNumId w:val="1"/>
    <w:lvlOverride w:ilvl="0">
      <w:lvl w:ilvl="0" w:tplc="AF2487F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CE5A0A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D8F2A4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D8F904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EE9B3C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041A4A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489A42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269ABC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46F460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</w:num>
  <w:num w:numId="15">
    <w:abstractNumId w:val="6"/>
    <w:lvlOverride w:ilvl="0">
      <w:lvl w:ilvl="0" w:tplc="F61A0D5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CC7B6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64D888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92BD6C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58D2BC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726BF2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8067C2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A8C1B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B8B35E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4"/>
  </w:num>
  <w:num w:numId="17">
    <w:abstractNumId w:val="4"/>
    <w:lvlOverride w:ilvl="0">
      <w:lvl w:ilvl="0" w:tplc="2B2EE340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3434F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6279A4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32BE30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1892A0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C2F7AC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4AEDB0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D89E38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D8DAF4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  <w:lvlOverride w:ilvl="0">
      <w:lvl w:ilvl="0" w:tplc="2B2EE340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3434F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6279A4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32BE30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1892A0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C2F7AC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4AEDB0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D89E38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D8DAF4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5A2F"/>
    <w:rsid w:val="005B0BB6"/>
    <w:rsid w:val="00855A2F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5B0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B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B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5B0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B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dgeproducts.com/build/products/home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ufcor.com/products/accordion-doors/#downloa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radleycorp.com/toiletpartitions/solid-phenolic-core-partitions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publicstorage.com/store/corridor_lockers?lockers=1" TargetMode="External"/><Relationship Id="rId20" Type="http://schemas.openxmlformats.org/officeDocument/2006/relationships/hyperlink" Target="http://wondoor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hyperlink" Target="https://www.bradleycorp.com/toiletpartitions/stainless-steel-partitions" TargetMode="External"/><Relationship Id="rId19" Type="http://schemas.openxmlformats.org/officeDocument/2006/relationships/hyperlink" Target="http://www.crl-arch.com/#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ridgeproducts.com/equip/products/details/31-568/merit-series-3-8-face-trim" TargetMode="External"/><Relationship Id="rId14" Type="http://schemas.openxmlformats.org/officeDocument/2006/relationships/hyperlink" Target="http://www.larsensmfg.com/home" TargetMode="Externa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5460</Characters>
  <Application>Microsoft Office Word</Application>
  <DocSecurity>0</DocSecurity>
  <Lines>156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Rasmussen</dc:creator>
  <cp:keywords/>
  <cp:lastModifiedBy>Gloria Rasmussen</cp:lastModifiedBy>
  <cp:revision>2</cp:revision>
  <dcterms:created xsi:type="dcterms:W3CDTF">2018-02-15T23:53:00Z</dcterms:created>
  <dcterms:modified xsi:type="dcterms:W3CDTF">2018-02-15T23:56:00Z</dcterms:modified>
</cp:coreProperties>
</file>